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6.0" w:type="dxa"/>
        <w:jc w:val="left"/>
        <w:tblInd w:w="-567.0" w:type="dxa"/>
        <w:tblLayout w:type="fixed"/>
        <w:tblLook w:val="0400"/>
      </w:tblPr>
      <w:tblGrid>
        <w:gridCol w:w="4395"/>
        <w:gridCol w:w="6351"/>
        <w:tblGridChange w:id="0">
          <w:tblGrid>
            <w:gridCol w:w="4395"/>
            <w:gridCol w:w="6351"/>
          </w:tblGrid>
        </w:tblGridChange>
      </w:tblGrid>
      <w:tr>
        <w:trPr>
          <w:cantSplit w:val="0"/>
          <w:tblHeader w:val="0"/>
        </w:trPr>
        <w:tc>
          <w:tcPr>
            <w:tcMar>
              <w:top w:w="504.0" w:type="dxa"/>
              <w:right w:w="72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0" w:before="0" w:line="240" w:lineRule="auto"/>
              <w:ind w:left="144" w:right="360" w:firstLine="0"/>
              <w:jc w:val="center"/>
              <w:rPr>
                <w:rFonts w:ascii="Franklin Gothic" w:cs="Franklin Gothic" w:eastAsia="Franklin Gothic" w:hAnsi="Franklin Gothic"/>
                <w:b w:val="0"/>
                <w:i w:val="0"/>
                <w:smallCaps w:val="1"/>
                <w:strike w:val="0"/>
                <w:color w:val="ea4e4e"/>
                <w:sz w:val="110"/>
                <w:szCs w:val="1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0"/>
                <w:i w:val="0"/>
                <w:smallCaps w:val="1"/>
                <w:strike w:val="0"/>
                <w:color w:val="ea4e4e"/>
                <w:sz w:val="110"/>
                <w:szCs w:val="110"/>
                <w:u w:val="none"/>
                <w:shd w:fill="auto" w:val="clear"/>
                <w:vertAlign w:val="baseline"/>
                <w:rtl w:val="0"/>
              </w:rPr>
              <w:t xml:space="preserve">MF</w:t>
            </w:r>
            <w:r w:rsidDel="00000000" w:rsidR="00000000" w:rsidRPr="00000000">
              <mc:AlternateContent>
                <mc:Choice Requires="wps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-89533</wp:posOffset>
                      </wp:positionH>
                      <wp:positionV relativeFrom="paragraph">
                        <wp:posOffset>-820417</wp:posOffset>
                      </wp:positionV>
                      <wp:extent cx="7241540" cy="16383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41540" cy="1638300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SpPr/>
                              <wps:cNvPr id="43" name="Rectángulo rojo"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44" name="Círculo rojo"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fmla="val 2897" name="adj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2" name="Círculo blanco"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-89533</wp:posOffset>
                      </wp:positionH>
                      <wp:positionV relativeFrom="paragraph">
                        <wp:posOffset>-820417</wp:posOffset>
                      </wp:positionV>
                      <wp:extent cx="7241540" cy="16383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41540" cy="1638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pStyle w:val="Heading3"/>
              <w:rPr/>
            </w:pPr>
            <w:r w:rsidDel="00000000" w:rsidR="00000000" w:rsidRPr="00000000">
              <w:rPr>
                <w:b w:val="1"/>
                <w:smallCaps w:val="0"/>
                <w:color w:val="000000"/>
                <w:u w:val="singl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APRENDER, CRECER Y COLABORAR TANTO CON MI EMPLEADOR COMO CON MIS COMPAÑEROS. – 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PERFIL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SOY PERSEVERANTE, TESONERA, RESPONSABLE Y ME GUSTA APRENDER. -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ME ENCANTA EL TRABAJO EN EQUIPO, PERO TAMBIEN SE ME DA BIEN SI TENGO QUE TRABAJAR SOLA.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HABILIDADES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RESOLUCION DE PROBLEMAS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BUENA COMUNICACIÓN VERBAL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BUENAS CAPACIDADES ORGANIZATIVAS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TELEFONO: 2616965104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CORREO: GIOVIVICA2007@GMAIL.COM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DIRECCION: TUYI 1863, GUAYMALLEN, SAN FRANCISCO DEL MONTE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4.0" w:type="dxa"/>
              <w:lef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5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351"/>
              <w:tblGridChange w:id="0">
                <w:tblGrid>
                  <w:gridCol w:w="6351"/>
                </w:tblGrid>
              </w:tblGridChange>
            </w:tblGrid>
            <w:tr>
              <w:trPr>
                <w:cantSplit w:val="0"/>
                <w:trHeight w:val="115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3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CURRICULUM VITAE:</w:t>
                    <w:br w:type="textWrapping"/>
                    <w:t xml:space="preserve">MARCELA FORNABAY</w:t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pStyle w:val="Heading3"/>
              <w:rPr/>
            </w:pPr>
            <w:r w:rsidDel="00000000" w:rsidR="00000000" w:rsidRPr="00000000">
              <w:rPr>
                <w:smallCaps w:val="0"/>
                <w:color w:val="000000"/>
                <w:u w:val="single"/>
                <w:rtl w:val="0"/>
              </w:rPr>
              <w:t xml:space="preserve">Experiencia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secretaria administrativa. taller integraldel automotor vicari. del año 2002 al año 2016</w:t>
            </w:r>
          </w:p>
          <w:p w:rsidR="00000000" w:rsidDel="00000000" w:rsidP="00000000" w:rsidRDefault="00000000" w:rsidRPr="00000000" w14:paraId="00000016">
            <w:pPr>
              <w:pStyle w:val="Heading3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tareas administrativas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Confección y manejo de caja y fondo fijo.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Control de stock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Manejo de proveedores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Liquidación de sueldos y jornales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Confección de facturas electrónicas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Gestión bancaria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Revisión de liquidación de tarjetas de crédito y debito.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Cobranzas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VENTAS: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Ventas de servicios del automotor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Reposición de insumos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Control de stock.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REFERENCIAS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SR DARIO VICARI, TEL: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2614544572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TARERAS ADMINISTRARTIVAS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Tesorera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Confección y manejo de caja y fondo fijo.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Control de stock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Manejo de proveedores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Liquidación de sueldos y jornales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Confección de facturas electrónicas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Gestión bancaria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Revisión de liquidación de tarjetas de crédito y debito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RECURSOS HUMANOS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Manejo de personal.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Planificación de horarios y tareas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Manejo de ceremonial y protocolo.-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GENRENTE •BUY &amp; SALE S.A.  DESDE EL AÑO 2016 AL AÑO 2019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REFERENCIA</w:t>
            </w:r>
            <w:r w:rsidDel="00000000" w:rsidR="00000000" w:rsidRPr="00000000">
              <w:rPr>
                <w:rtl w:val="0"/>
              </w:rPr>
              <w:t xml:space="preserve">S: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SR. RICARDO BALDINI, TEL: 2614220054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SRTA: VANINA BALDINI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Heading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encargada de ventas•Alegretto s.A.  desde el año 2019 al año 2022</w:t>
            </w:r>
          </w:p>
          <w:p w:rsidR="00000000" w:rsidDel="00000000" w:rsidP="00000000" w:rsidRDefault="00000000" w:rsidRPr="00000000" w14:paraId="0000003E">
            <w:pPr>
              <w:pStyle w:val="Heading3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encargada de ventas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ATENCIÓN AL  PÚBLICO Y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REPOSICION DE MERCADERIA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COLOCACION DE PRECIOS</w:t>
            </w:r>
          </w:p>
          <w:p w:rsidR="00000000" w:rsidDel="00000000" w:rsidP="00000000" w:rsidRDefault="00000000" w:rsidRPr="00000000" w14:paraId="00000042">
            <w:pPr>
              <w:pStyle w:val="Heading4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REFERENCIAS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STA. DESIREE SIGAL, TEL: 261-2112944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Heading2"/>
              <w:rPr>
                <w:smallCaps w:val="0"/>
                <w:color w:val="000000"/>
                <w:u w:val="single"/>
              </w:rPr>
            </w:pPr>
            <w:r w:rsidDel="00000000" w:rsidR="00000000" w:rsidRPr="00000000">
              <w:rPr>
                <w:smallCaps w:val="0"/>
                <w:color w:val="000000"/>
                <w:u w:val="single"/>
                <w:rtl w:val="0"/>
              </w:rPr>
              <w:t xml:space="preserve">Educación</w:t>
            </w:r>
          </w:p>
          <w:p w:rsidR="00000000" w:rsidDel="00000000" w:rsidP="00000000" w:rsidRDefault="00000000" w:rsidRPr="00000000" w14:paraId="00000046">
            <w:pPr>
              <w:pStyle w:val="Heading4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nivel primario</w:t>
            </w:r>
            <w:r w:rsidDel="00000000" w:rsidR="00000000" w:rsidRPr="00000000">
              <w:rPr>
                <w:rtl w:val="0"/>
              </w:rPr>
              <w:t xml:space="preserve"> • colegio PIO XII. EGRESADA AÑO:  1979-1986 </w:t>
            </w:r>
          </w:p>
          <w:p w:rsidR="00000000" w:rsidDel="00000000" w:rsidP="00000000" w:rsidRDefault="00000000" w:rsidRPr="00000000" w14:paraId="00000047">
            <w:pPr>
              <w:pStyle w:val="Heading4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nivel secundaria</w:t>
            </w:r>
            <w:r w:rsidDel="00000000" w:rsidR="00000000" w:rsidRPr="00000000">
              <w:rPr>
                <w:rtl w:val="0"/>
              </w:rPr>
              <w:t xml:space="preserve">:• COLEGIO INSTITUTO SAN VICENTE FERRER .EGRESADA AÑO 1987-1992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ORIENTACION PERITO MERCANTIL 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NIVEL TERCIARIO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MARCELINO CHAMPAGNIAT.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CARRERA:</w:t>
            </w:r>
            <w:r w:rsidDel="00000000" w:rsidR="00000000" w:rsidRPr="00000000">
              <w:rPr>
                <w:rtl w:val="0"/>
              </w:rPr>
              <w:t xml:space="preserve">--SECRETARIADIO EJECUTIVO Y ADMINISTRACION CONTABLE. EGRESADA AÑO: 2000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DIOMAS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INGLES BASICO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CURSOS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WORD, EXCEL,POWER POINT, TANGO GESTIÓN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2304" w:top="864" w:left="864" w:right="864" w:header="576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ckwell"/>
  <w:font w:name="Franklin Gothic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178.0" w:type="dxa"/>
      <w:jc w:val="left"/>
      <w:tblLayout w:type="fixed"/>
      <w:tblLook w:val="0400"/>
    </w:tblPr>
    <w:tblGrid>
      <w:gridCol w:w="2545"/>
      <w:gridCol w:w="2545"/>
      <w:gridCol w:w="2544"/>
      <w:gridCol w:w="2544"/>
      <w:tblGridChange w:id="0">
        <w:tblGrid>
          <w:gridCol w:w="2545"/>
          <w:gridCol w:w="2545"/>
          <w:gridCol w:w="2544"/>
          <w:gridCol w:w="2544"/>
        </w:tblGrid>
      </w:tblGridChange>
    </w:tblGrid>
    <w:tr>
      <w:trPr>
        <w:cantSplit w:val="0"/>
        <w:tblHeader w:val="0"/>
      </w:trPr>
      <w:tc>
        <w:tcPr>
          <w:tcMar>
            <w:top w:w="648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4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648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4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648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4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648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4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Mar>
            <w:top w:w="144.0" w:type="dxa"/>
            <w:left w:w="115.0" w:type="dxa"/>
            <w:right w:w="115.0" w:type="dxa"/>
          </w:tcMar>
        </w:tcPr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4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educativo</w:t>
          </w:r>
        </w:p>
      </w:tc>
      <w:tc>
        <w:tcPr>
          <w:tcMar>
            <w:top w:w="144.0" w:type="dxa"/>
            <w:left w:w="115.0" w:type="dxa"/>
            <w:right w:w="115.0" w:type="dxa"/>
          </w:tcMar>
        </w:tcPr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4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br w:type="textWrapping"/>
          </w:r>
        </w:p>
      </w:tc>
      <w:tc>
        <w:tcPr>
          <w:tcMar>
            <w:top w:w="144.0" w:type="dxa"/>
            <w:left w:w="115.0" w:type="dxa"/>
            <w:right w:w="115.0" w:type="dxa"/>
          </w:tcMar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4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br w:type="textWrapping"/>
          </w:r>
        </w:p>
      </w:tc>
      <w:tc>
        <w:tcPr>
          <w:tcMar>
            <w:top w:w="144.0" w:type="dxa"/>
            <w:left w:w="115.0" w:type="dxa"/>
            <w:right w:w="115.0" w:type="dxa"/>
          </w:tcMar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4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br w:type="textWrapping"/>
          </w:r>
        </w:p>
      </w:tc>
    </w:tr>
  </w:tbl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center"/>
      <w:rPr>
        <w:rFonts w:ascii="Franklin Gothic" w:cs="Franklin Gothic" w:eastAsia="Franklin Gothic" w:hAnsi="Franklin Gothic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Franklin Gothic" w:cs="Franklin Gothic" w:eastAsia="Franklin Gothic" w:hAnsi="Franklin Gothic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center"/>
      <w:rPr>
        <w:rFonts w:ascii="Franklin Gothic" w:cs="Franklin Gothic" w:eastAsia="Franklin Gothic" w:hAnsi="Franklin Gothic"/>
        <w:b w:val="0"/>
        <w:i w:val="0"/>
        <w:smallCaps w:val="0"/>
        <w:strike w:val="0"/>
        <w:color w:val="ea4e4e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Franklin Gothic" w:cs="Franklin Gothic" w:eastAsia="Franklin Gothic" w:hAnsi="Franklin Gothic"/>
        <w:b w:val="0"/>
        <w:i w:val="0"/>
        <w:smallCaps w:val="0"/>
        <w:strike w:val="0"/>
        <w:color w:val="ea4e4e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both"/>
      <w:rPr>
        <w:rFonts w:ascii="Franklin Gothic" w:cs="Franklin Gothic" w:eastAsia="Franklin Gothic" w:hAnsi="Franklin Gothic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78.0" w:type="dxa"/>
      <w:jc w:val="left"/>
      <w:tblLayout w:type="fixed"/>
      <w:tblLook w:val="0400"/>
    </w:tblPr>
    <w:tblGrid>
      <w:gridCol w:w="3679"/>
      <w:gridCol w:w="6499"/>
      <w:tblGridChange w:id="0">
        <w:tblGrid>
          <w:gridCol w:w="3679"/>
          <w:gridCol w:w="6499"/>
        </w:tblGrid>
      </w:tblGridChange>
    </w:tblGrid>
    <w:tr>
      <w:trPr>
        <w:cantSplit w:val="0"/>
        <w:trHeight w:val="2952" w:hRule="atLeast"/>
        <w:tblHeader w:val="0"/>
      </w:trPr>
      <w:tc>
        <w:tcPr>
          <w:tcMar>
            <w:top w:w="821.0" w:type="dxa"/>
            <w:right w:w="720.0" w:type="dxa"/>
          </w:tcMar>
        </w:tcPr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0" w:before="0" w:line="240" w:lineRule="auto"/>
            <w:ind w:left="144" w:right="360" w:firstLine="0"/>
            <w:jc w:val="center"/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ea4e4e"/>
              <w:sz w:val="110"/>
              <w:szCs w:val="1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ea4e4e"/>
              <w:sz w:val="110"/>
              <w:szCs w:val="110"/>
              <w:u w:val="none"/>
              <w:shd w:fill="auto" w:val="clear"/>
              <w:vertAlign w:val="baseline"/>
              <w:rtl w:val="0"/>
            </w:rPr>
            <w:t xml:space="preserve">MF</w:t>
          </w:r>
          <w:r w:rsidDel="00000000" w:rsidR="00000000" w:rsidRPr="00000000">
            <mc:AlternateContent>
              <mc:Choice Requires="wps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665595" cy="1767600"/>
                    <wp:effectExtent b="0" l="0" r="9525" t="0"/>
                    <wp:wrapNone/>
                    <wp:docPr id="2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7600"/>
                              <a:chOff x="0" y="0"/>
                              <a:chExt cx="6665595" cy="1810385"/>
                            </a:xfrm>
                          </wpg:grpSpPr>
                          <wps:wsp>
                            <wps:cNvSpPr/>
                            <wps:cNvPr id="53" name="Rectángulo rojo"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cNvPr id="55" name="Círculo blanco"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cNvPr id="54" name="Círculo rojo"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fmla="val 2897" name="adj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675120" cy="1767600"/>
                    <wp:effectExtent b="0" l="0" r="0" t="0"/>
                    <wp:wrapNone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75120" cy="1767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Mar>
            <w:top w:w="821.0" w:type="dxa"/>
            <w:left w:w="0.0" w:type="dxa"/>
          </w:tcMar>
        </w:tcPr>
        <w:p w:rsidR="00000000" w:rsidDel="00000000" w:rsidP="00000000" w:rsidRDefault="00000000" w:rsidRPr="00000000" w14:paraId="0000005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1"/>
              <w:strike w:val="0"/>
              <w:color w:val="ea4e4e"/>
              <w:sz w:val="110"/>
              <w:szCs w:val="1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4"/>
            <w:tblW w:w="6499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400"/>
          </w:tblPr>
          <w:tblGrid>
            <w:gridCol w:w="6499"/>
            <w:tblGridChange w:id="0">
              <w:tblGrid>
                <w:gridCol w:w="6499"/>
              </w:tblGrid>
            </w:tblGridChange>
          </w:tblGrid>
          <w:tr>
            <w:trPr>
              <w:cantSplit w:val="0"/>
              <w:trHeight w:val="1152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55">
                <w:pPr>
                  <w:pStyle w:val="Heading1"/>
                  <w:rPr/>
                </w:pPr>
                <w:r w:rsidDel="00000000" w:rsidR="00000000" w:rsidRPr="00000000">
                  <w:rPr>
                    <w:rtl w:val="0"/>
                  </w:rPr>
                  <w:t xml:space="preserve">CURRICULUM VITAE:</w:t>
                  <w:br w:type="textWrapping"/>
                  <w:t xml:space="preserve">MARCELA FORNABAY</w:t>
                </w:r>
              </w:p>
              <w:p w:rsidR="00000000" w:rsidDel="00000000" w:rsidP="00000000" w:rsidRDefault="00000000" w:rsidRPr="00000000" w14:paraId="00000056">
                <w:pPr>
                  <w:pStyle w:val="Heading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57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both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ckwell" w:cs="Rockwell" w:eastAsia="Rockwell" w:hAnsi="Rockwell"/>
        <w:lang w:val="es-E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00" w:lineRule="auto"/>
      <w:jc w:val="left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smallCaps w:val="1"/>
      <w:sz w:val="24"/>
      <w:szCs w:val="24"/>
    </w:rPr>
  </w:style>
  <w:style w:type="paragraph" w:styleId="Heading4">
    <w:name w:val="heading 4"/>
    <w:basedOn w:val="Normal"/>
    <w:next w:val="Normal"/>
    <w:pPr>
      <w:spacing w:after="0" w:before="24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  <w:jc w:val="left"/>
    </w:pPr>
    <w:rPr>
      <w:smallCaps w:val="1"/>
      <w:color w:val="c55911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ed7d31"/>
      <w:sz w:val="22"/>
      <w:szCs w:val="22"/>
    </w:rPr>
  </w:style>
  <w:style w:type="paragraph" w:styleId="Title">
    <w:name w:val="Title"/>
    <w:basedOn w:val="Normal"/>
    <w:next w:val="Normal"/>
    <w:pPr>
      <w:pBdr>
        <w:top w:color="ed7d31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>
      <w:rFonts w:ascii="Franklin Gothic" w:cs="Franklin Gothic" w:eastAsia="Franklin Gothic" w:hAnsi="Franklin Gothic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0.0" w:type="dxa"/>
        <w:bottom w:w="965.0" w:type="dxa"/>
        <w:right w:w="43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0.0" w:type="dxa"/>
        <w:bottom w:w="965.0" w:type="dxa"/>
        <w:right w:w="43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